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9" w:rsidRPr="008A00E4" w:rsidRDefault="00875FD3" w:rsidP="00C420D2">
      <w:pPr>
        <w:pStyle w:val="a3"/>
        <w:spacing w:line="360" w:lineRule="auto"/>
        <w:ind w:left="0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8A00E4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Практикум по подготовке Технического задания</w:t>
      </w:r>
      <w:r w:rsidR="00EC3A13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 xml:space="preserve"> без нарушений требований 223-ФЗ</w:t>
      </w:r>
      <w:r w:rsidRPr="008A00E4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. Экспертиза, приемка и контроль исполнения договора в рамках 223-ФЗ.</w:t>
      </w:r>
    </w:p>
    <w:p w:rsidR="00770CB9" w:rsidRPr="00453FA3" w:rsidRDefault="00770CB9" w:rsidP="00770CB9">
      <w:pPr>
        <w:spacing w:after="0" w:line="240" w:lineRule="auto"/>
        <w:rPr>
          <w:rFonts w:ascii="Verdana" w:hAnsi="Verdana"/>
          <w:b/>
          <w:bCs/>
          <w:iCs/>
          <w:color w:val="222A35"/>
          <w:sz w:val="12"/>
          <w:szCs w:val="12"/>
        </w:rPr>
      </w:pPr>
    </w:p>
    <w:p w:rsidR="00770CB9" w:rsidRPr="00453FA3" w:rsidRDefault="00770CB9" w:rsidP="00770CB9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 w:rsidR="00453FA3"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A73298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17 декабря 2019 г., г. Москва, </w:t>
      </w:r>
      <w:r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«Бета», ТГК «Измайлово»</w:t>
      </w:r>
      <w:bookmarkStart w:id="0" w:name="_Hlk1631394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875FD3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Лектор: </w:t>
      </w:r>
      <w:proofErr w:type="spellStart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Бабунов</w:t>
      </w:r>
      <w:proofErr w:type="spellEnd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Сергей Валерьевич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875FD3">
        <w:rPr>
          <w:rFonts w:ascii="Times New Roman" w:eastAsia="SimSun" w:hAnsi="Times New Roman"/>
          <w:i/>
          <w:color w:val="000000"/>
          <w:sz w:val="24"/>
          <w:szCs w:val="24"/>
        </w:rPr>
        <w:t>14-летним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</w:t>
      </w:r>
      <w:r w:rsidR="00453FA3"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Опыт по экспертному сопровождению организаций: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самое успешное сопровождение Заказчика в ФАС – заказ на 450 млн. рублей, самый крупный сопровождаемый аукцион – 4,2 млрд. рублей, самый крупный сопровождаемый конкурс – 9,8 млрд. рублей, самая успешная серия по сопровождению поставщика – 3 выигранных аукциона подряд на общую сумму 3,1 млрд. рублей.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875FD3" w:rsidRPr="00F64070" w:rsidRDefault="00875FD3" w:rsidP="00875FD3">
      <w:pPr>
        <w:spacing w:after="0"/>
        <w:contextualSpacing/>
        <w:rPr>
          <w:rFonts w:ascii="Times New Roman" w:hAnsi="Times New Roman"/>
          <w:b/>
          <w:i/>
        </w:rPr>
      </w:pPr>
      <w:r w:rsidRPr="00F64070">
        <w:rPr>
          <w:rFonts w:ascii="Times New Roman" w:hAnsi="Times New Roman"/>
          <w:b/>
          <w:i/>
        </w:rPr>
        <w:t xml:space="preserve">Контактная информация: </w:t>
      </w:r>
    </w:p>
    <w:p w:rsidR="00875FD3" w:rsidRPr="00F64070" w:rsidRDefault="00875FD3" w:rsidP="00875FD3">
      <w:pPr>
        <w:spacing w:after="0"/>
        <w:rPr>
          <w:rFonts w:ascii="Times New Roman" w:hAnsi="Times New Roman"/>
          <w:b/>
          <w:bCs/>
          <w:i/>
        </w:rPr>
      </w:pPr>
      <w:bookmarkStart w:id="1" w:name="_Hlk17458946"/>
      <w:r w:rsidRPr="00F64070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EC1A82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  <w:r w:rsidRPr="00F64070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>
        <w:rPr>
          <w:rFonts w:ascii="Times New Roman" w:hAnsi="Times New Roman"/>
          <w:b/>
          <w:bCs/>
          <w:i/>
        </w:rPr>
        <w:t>с</w:t>
      </w:r>
      <w:r w:rsidRPr="00F64070">
        <w:rPr>
          <w:rFonts w:ascii="Times New Roman" w:hAnsi="Times New Roman"/>
          <w:b/>
          <w:bCs/>
          <w:i/>
        </w:rPr>
        <w:t>айт</w:t>
      </w:r>
      <w:r w:rsidRPr="00F64070">
        <w:rPr>
          <w:rFonts w:ascii="Times New Roman" w:hAnsi="Times New Roman"/>
          <w:b/>
          <w:bCs/>
          <w:i/>
          <w:lang w:val="en-US"/>
        </w:rPr>
        <w:t>: co-everest.ru</w:t>
      </w:r>
      <w:bookmarkEnd w:id="1"/>
    </w:p>
    <w:p w:rsidR="00875FD3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875FD3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875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="000F2C53">
        <w:rPr>
          <w:rFonts w:ascii="Times New Roman" w:hAnsi="Times New Roman"/>
          <w:b/>
          <w:bCs/>
          <w:color w:val="000000"/>
          <w:sz w:val="24"/>
          <w:szCs w:val="24"/>
        </w:rPr>
        <w:t xml:space="preserve"> (с 10:00 до 17:00)</w:t>
      </w: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2" w:name="_Hlk1630950"/>
      <w:bookmarkStart w:id="3" w:name="_Hlk532576062"/>
    </w:p>
    <w:bookmarkEnd w:id="2"/>
    <w:p w:rsidR="00875FD3" w:rsidRDefault="00875FD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Особенности описания предмета закупки по чертежу, артикулу и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закрытый набор характеристик и параметров, порядок описания в ТЗ позиций отсутствующих в каталоге;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Порядок и особенности формирования лотов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подлежащей обязательной сертификации;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подтверждение соответствия которой осуществляется в форме принятия декларации о соответствии.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Технические регламенты и национальные стандарты; ​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Требования к продукции – ГОСТ-Р, СНиП, СанПиН и </w:t>
      </w:r>
      <w:r w:rsidR="00A73298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121CB3" w:rsidRPr="00875FD3" w:rsidRDefault="00A73298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заданий,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не нарушающие действующее законодательство;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</w:t>
      </w:r>
      <w:r w:rsidR="003D76C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ических заданий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-</w:t>
      </w:r>
      <w:r w:rsidR="00A73298" w:rsidRPr="00875FD3">
        <w:rPr>
          <w:rFonts w:ascii="Times New Roman" w:hAnsi="Times New Roman"/>
          <w:sz w:val="22"/>
          <w:szCs w:val="22"/>
        </w:rPr>
        <w:t xml:space="preserve"> Обоснование</w:t>
      </w:r>
      <w:r w:rsidRPr="00875FD3">
        <w:rPr>
          <w:rFonts w:ascii="Times New Roman" w:hAnsi="Times New Roman"/>
          <w:sz w:val="22"/>
          <w:szCs w:val="22"/>
        </w:rPr>
        <w:t xml:space="preserve"> НМЦД;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порядку приемки;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проведения и оформления результатов экспертизы товаров, работ, услуг;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Примеры установления в документации эффективных мер ответственности участника;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</w:t>
      </w:r>
      <w:r w:rsidR="003D76C3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рные условия проектов договоров.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F2143D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bookmarkStart w:id="4" w:name="_Hlk17460231"/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p w:rsidR="00875FD3" w:rsidRDefault="00875FD3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bookmarkEnd w:id="4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F5C9D" wp14:editId="4F00D5F1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D8183B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5" w:name="_Hlk17460158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Стоимость участия в семинаре </w:t>
      </w:r>
      <w:r w:rsidR="00770CB9" w:rsidRPr="00875FD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770CB9" w:rsidRPr="00875FD3">
        <w:rPr>
          <w:rFonts w:ascii="Times New Roman" w:hAnsi="Times New Roman"/>
          <w:b/>
          <w:color w:val="000000"/>
          <w:sz w:val="22"/>
          <w:szCs w:val="22"/>
        </w:rPr>
        <w:t>16 900 рублей/чел.</w:t>
      </w:r>
      <w:r w:rsidR="00770CB9"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="00770CB9"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="00770CB9"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770CB9" w:rsidRPr="00875FD3">
        <w:rPr>
          <w:rFonts w:ascii="Times New Roman" w:hAnsi="Times New Roman"/>
          <w:b/>
          <w:color w:val="000000"/>
          <w:sz w:val="22"/>
          <w:szCs w:val="22"/>
        </w:rPr>
        <w:t>14 900 руб./чел.</w:t>
      </w:r>
    </w:p>
    <w:bookmarkEnd w:id="5"/>
    <w:p w:rsidR="00084E2D" w:rsidRPr="00875FD3" w:rsidRDefault="00770CB9" w:rsidP="003D76C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C4F65" wp14:editId="4F1ED585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136AFF" w:rsidRPr="002D4A4B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 w:rsidRPr="002D4A4B">
        <w:rPr>
          <w:rFonts w:ascii="Times New Roman" w:hAnsi="Times New Roman"/>
          <w:b/>
          <w:i/>
        </w:rPr>
        <w:t xml:space="preserve">Контактная информация: </w:t>
      </w:r>
    </w:p>
    <w:p w:rsidR="00136AFF" w:rsidRPr="002D4A4B" w:rsidRDefault="00136AFF" w:rsidP="00136AFF">
      <w:pPr>
        <w:spacing w:after="0"/>
        <w:rPr>
          <w:rFonts w:ascii="Times New Roman" w:hAnsi="Times New Roman"/>
          <w:b/>
          <w:bCs/>
          <w:i/>
        </w:rPr>
      </w:pPr>
      <w:r w:rsidRPr="002D4A4B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136AFF" w:rsidRPr="002D4A4B" w:rsidRDefault="00136AFF" w:rsidP="00136AFF">
      <w:pPr>
        <w:spacing w:after="0"/>
        <w:rPr>
          <w:rFonts w:ascii="Times New Roman" w:hAnsi="Times New Roman"/>
          <w:b/>
          <w:bCs/>
          <w:i/>
          <w:lang w:val="en-US"/>
        </w:rPr>
      </w:pPr>
      <w:r w:rsidRPr="002D4A4B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 w:rsidR="000B6F07">
        <w:rPr>
          <w:rFonts w:ascii="Times New Roman" w:hAnsi="Times New Roman"/>
          <w:b/>
          <w:bCs/>
          <w:i/>
        </w:rPr>
        <w:t>с</w:t>
      </w:r>
      <w:r w:rsidRPr="002D4A4B">
        <w:rPr>
          <w:rFonts w:ascii="Times New Roman" w:hAnsi="Times New Roman"/>
          <w:b/>
          <w:bCs/>
          <w:i/>
        </w:rPr>
        <w:t>айт</w:t>
      </w:r>
      <w:r w:rsidRPr="002D4A4B">
        <w:rPr>
          <w:rFonts w:ascii="Times New Roman" w:hAnsi="Times New Roman"/>
          <w:b/>
          <w:bCs/>
          <w:i/>
          <w:lang w:val="en-US"/>
        </w:rPr>
        <w:t>: co-everest.ru</w:t>
      </w:r>
    </w:p>
    <w:p w:rsidR="003D76C3" w:rsidRDefault="003D76C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D860DE" w:rsidRDefault="00D860DE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D860DE" w:rsidRDefault="00D860DE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D860DE" w:rsidRDefault="00D860DE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D860DE" w:rsidRDefault="00D860DE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  <w:bookmarkStart w:id="6" w:name="_GoBack"/>
      <w:bookmarkEnd w:id="6"/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Pr="00136AFF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bookmarkEnd w:id="3"/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8A00E4" w:rsidRDefault="008A00E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C06133" w:rsidRDefault="00C06133" w:rsidP="005B393E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C06133">
              <w:rPr>
                <w:rStyle w:val="ac"/>
                <w:color w:val="1F3864" w:themeColor="accent1" w:themeShade="80"/>
                <w:sz w:val="32"/>
                <w:szCs w:val="32"/>
              </w:rPr>
              <w:t>Практикум по подготовке Технического задания без нарушений требований 223-ФЗ. Экспертиза, приемка и контроль исполнения договора в рамках 223-ФЗ.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8A00E4" w:rsidRPr="00BD5304" w:rsidRDefault="008A00E4" w:rsidP="008A00E4">
      <w:pPr>
        <w:spacing w:after="0"/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:rsidR="004F17E4" w:rsidRPr="008A00E4" w:rsidRDefault="008A00E4" w:rsidP="008A00E4">
      <w:pPr>
        <w:spacing w:after="0"/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sectPr w:rsidR="004F17E4" w:rsidRPr="008A00E4" w:rsidSect="006A2AF8">
      <w:footerReference w:type="default" r:id="rId9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75" w:rsidRDefault="005D0E75" w:rsidP="00E83B9E">
      <w:pPr>
        <w:spacing w:after="0" w:line="240" w:lineRule="auto"/>
      </w:pPr>
      <w:r>
        <w:separator/>
      </w:r>
    </w:p>
  </w:endnote>
  <w:endnote w:type="continuationSeparator" w:id="0">
    <w:p w:rsidR="005D0E75" w:rsidRDefault="005D0E75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860DE">
      <w:rPr>
        <w:noProof/>
      </w:rPr>
      <w:t>5</w:t>
    </w:r>
    <w:r>
      <w:fldChar w:fldCharType="end"/>
    </w:r>
  </w:p>
  <w:p w:rsidR="00E83B9E" w:rsidRDefault="00E83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75" w:rsidRDefault="005D0E75" w:rsidP="00E83B9E">
      <w:pPr>
        <w:spacing w:after="0" w:line="240" w:lineRule="auto"/>
      </w:pPr>
      <w:r>
        <w:separator/>
      </w:r>
    </w:p>
  </w:footnote>
  <w:footnote w:type="continuationSeparator" w:id="0">
    <w:p w:rsidR="005D0E75" w:rsidRDefault="005D0E75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6F07"/>
    <w:rsid w:val="000B6FF9"/>
    <w:rsid w:val="000D1BBC"/>
    <w:rsid w:val="000D47EF"/>
    <w:rsid w:val="000F2C53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4D11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514C"/>
    <w:rsid w:val="00255EB8"/>
    <w:rsid w:val="0026294E"/>
    <w:rsid w:val="002642AF"/>
    <w:rsid w:val="00276548"/>
    <w:rsid w:val="00280FA4"/>
    <w:rsid w:val="00285567"/>
    <w:rsid w:val="002A2623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D76C3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D0E75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77F8C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701D11"/>
    <w:rsid w:val="0070590A"/>
    <w:rsid w:val="00706AD8"/>
    <w:rsid w:val="007121C9"/>
    <w:rsid w:val="00725B56"/>
    <w:rsid w:val="007314C7"/>
    <w:rsid w:val="00756DC3"/>
    <w:rsid w:val="00760D34"/>
    <w:rsid w:val="007706AC"/>
    <w:rsid w:val="00770CB9"/>
    <w:rsid w:val="0077658B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9571E"/>
    <w:rsid w:val="008A00E4"/>
    <w:rsid w:val="008B01C0"/>
    <w:rsid w:val="008B7788"/>
    <w:rsid w:val="008C625E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D6A5A"/>
    <w:rsid w:val="009E20A9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B6046"/>
    <w:rsid w:val="00AC0C02"/>
    <w:rsid w:val="00AD1E96"/>
    <w:rsid w:val="00AF1E00"/>
    <w:rsid w:val="00AF3B29"/>
    <w:rsid w:val="00AF5CC7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06133"/>
    <w:rsid w:val="00C32896"/>
    <w:rsid w:val="00C334D8"/>
    <w:rsid w:val="00C35838"/>
    <w:rsid w:val="00C420D2"/>
    <w:rsid w:val="00C4354F"/>
    <w:rsid w:val="00C4519B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83B"/>
    <w:rsid w:val="00D81A16"/>
    <w:rsid w:val="00D8345D"/>
    <w:rsid w:val="00D8442C"/>
    <w:rsid w:val="00D860DE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F349B"/>
    <w:rsid w:val="00E03434"/>
    <w:rsid w:val="00E0361B"/>
    <w:rsid w:val="00E23B0D"/>
    <w:rsid w:val="00E252C4"/>
    <w:rsid w:val="00E348C6"/>
    <w:rsid w:val="00E41635"/>
    <w:rsid w:val="00E4782A"/>
    <w:rsid w:val="00E479EB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C3A13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8A4E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B9E"/>
  </w:style>
  <w:style w:type="paragraph" w:styleId="a6">
    <w:name w:val="footer"/>
    <w:basedOn w:val="a"/>
    <w:link w:val="a7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83B9E"/>
  </w:style>
  <w:style w:type="table" w:styleId="a8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3583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c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d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Intense Quote"/>
    <w:basedOn w:val="a"/>
    <w:next w:val="a"/>
    <w:link w:val="af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">
    <w:name w:val="Выделенная цитата Знак"/>
    <w:link w:val="ae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0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1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Заголовок Знак"/>
    <w:link w:val="af2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4">
    <w:name w:val="Subtle Emphasis"/>
    <w:uiPriority w:val="19"/>
    <w:qFormat/>
    <w:rsid w:val="00F2143D"/>
    <w:rPr>
      <w:i/>
      <w:iCs/>
      <w:color w:val="auto"/>
    </w:rPr>
  </w:style>
  <w:style w:type="character" w:styleId="af5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6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7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8">
    <w:name w:val="Subtitle"/>
    <w:basedOn w:val="a"/>
    <w:next w:val="a"/>
    <w:link w:val="af9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F2143D"/>
    <w:rPr>
      <w:color w:val="000000"/>
      <w:sz w:val="24"/>
      <w:szCs w:val="24"/>
    </w:rPr>
  </w:style>
  <w:style w:type="character" w:styleId="afa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b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c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18ED-1D44-4F65-953F-D34271DE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20</cp:revision>
  <cp:lastPrinted>2019-01-09T07:07:00Z</cp:lastPrinted>
  <dcterms:created xsi:type="dcterms:W3CDTF">2019-10-08T13:25:00Z</dcterms:created>
  <dcterms:modified xsi:type="dcterms:W3CDTF">2019-10-12T10:13:00Z</dcterms:modified>
</cp:coreProperties>
</file>