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D3" w:rsidRDefault="002A66D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-201930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42" w:rsidRPr="00842E0F">
        <w:rPr>
          <w:rFonts w:ascii="Times New Roman" w:hAnsi="Times New Roman"/>
          <w:b/>
          <w:color w:val="1F3864" w:themeColor="accent1" w:themeShade="80"/>
          <w:sz w:val="36"/>
          <w:szCs w:val="36"/>
        </w:rPr>
        <w:t xml:space="preserve"> </w:t>
      </w:r>
    </w:p>
    <w:p w:rsidR="002A66D3" w:rsidRDefault="002A66D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2A66D3" w:rsidRDefault="002A66D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392E5D" w:rsidRDefault="007A6C42" w:rsidP="00392E5D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842E0F">
        <w:rPr>
          <w:rFonts w:ascii="Times New Roman" w:hAnsi="Times New Roman"/>
          <w:b/>
          <w:color w:val="1F3864" w:themeColor="accent1" w:themeShade="80"/>
          <w:sz w:val="36"/>
          <w:szCs w:val="36"/>
        </w:rPr>
        <w:t>«Изменения законодательства 2019 года. Федеральные законы 44-ФЗ и 223-ФЗ. Новые правила работы, разъяснения и практика. Особенности корпоративных закупок в 2019-2020 г.»</w:t>
      </w:r>
    </w:p>
    <w:p w:rsidR="00392E5D" w:rsidRDefault="00392E5D" w:rsidP="00392E5D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</w:p>
    <w:p w:rsidR="00392E5D" w:rsidRDefault="00392E5D" w:rsidP="00392E5D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92E5D" w:rsidRPr="00453FA3" w:rsidRDefault="00392E5D" w:rsidP="00392E5D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7A6C42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21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-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24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 w:rsidR="00290F49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Москва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,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</w:t>
      </w:r>
      <w:r w:rsidR="00966EDB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>Берлин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 xml:space="preserve"> </w:t>
      </w:r>
    </w:p>
    <w:p w:rsidR="00875FD3" w:rsidRPr="00875FD3" w:rsidRDefault="00392E5D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</w:rPr>
        <w:t>____</w:t>
      </w:r>
      <w:r w:rsidR="00875FD3" w:rsidRPr="002A1FE0">
        <w:rPr>
          <w:rFonts w:ascii="Times New Roman" w:hAnsi="Times New Roman"/>
          <w:b/>
        </w:rPr>
        <w:t>_____________________________________________________________________________________</w:t>
      </w:r>
      <w:r w:rsidR="00875FD3">
        <w:rPr>
          <w:rFonts w:ascii="Times New Roman" w:hAnsi="Times New Roman"/>
          <w:b/>
        </w:rPr>
        <w:t>______________</w:t>
      </w:r>
    </w:p>
    <w:p w:rsidR="001A7732" w:rsidRDefault="00F2143D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Лектор</w:t>
      </w:r>
      <w:r w:rsid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ы</w:t>
      </w: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: </w:t>
      </w:r>
    </w:p>
    <w:bookmarkEnd w:id="0"/>
    <w:p w:rsidR="007A6C42" w:rsidRDefault="007A6C42" w:rsidP="00453FA3">
      <w:pPr>
        <w:spacing w:line="276" w:lineRule="auto"/>
        <w:rPr>
          <w:rFonts w:ascii="Times New Roman" w:eastAsia="SimSun" w:hAnsi="Times New Roman"/>
          <w:bCs/>
          <w:i/>
          <w:color w:val="000000"/>
          <w:sz w:val="24"/>
          <w:szCs w:val="24"/>
        </w:rPr>
      </w:pPr>
      <w:r w:rsidRPr="007A6C4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Вахрамеева Валерия Владимировна - </w:t>
      </w:r>
      <w:r w:rsidRPr="007A6C42">
        <w:rPr>
          <w:rFonts w:ascii="Times New Roman" w:eastAsia="SimSun" w:hAnsi="Times New Roman"/>
          <w:bCs/>
          <w:i/>
          <w:color w:val="000000"/>
          <w:sz w:val="24"/>
          <w:szCs w:val="24"/>
        </w:rPr>
        <w:t>преподаватель-практик с опытом преподавания с 2008 года и работы в закупках с 2011 года, старший преподаватель кафедры «Управление закупочной деятельностью» АНО ДПО «ИПК РБС», разработчик курсов и методических материалов по теме "Управление государственными и муниципальными закупками". Разработка внутренних нормативных документов, регламентирующих закупочную деятельность. Практика работы с ФАС России.</w:t>
      </w:r>
    </w:p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7A6C42">
        <w:rPr>
          <w:rFonts w:ascii="Times New Roman" w:hAnsi="Times New Roman"/>
        </w:rPr>
        <w:t>______________________________________________________________________________________________</w:t>
      </w:r>
      <w:r w:rsidR="006A2AF8" w:rsidRPr="007A6C42">
        <w:rPr>
          <w:rFonts w:ascii="Times New Roman" w:hAnsi="Times New Roman"/>
        </w:rPr>
        <w:t>__________</w:t>
      </w:r>
    </w:p>
    <w:p w:rsidR="00F701F0" w:rsidRDefault="00F701F0" w:rsidP="00F701F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F701F0" w:rsidRDefault="00F701F0" w:rsidP="00F701F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F701F0" w:rsidRDefault="00F701F0" w:rsidP="00F701F0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9B41D3" w:rsidRPr="00183120" w:rsidRDefault="009B41D3" w:rsidP="009B41D3">
      <w:pPr>
        <w:pStyle w:val="afe"/>
        <w:spacing w:before="0" w:beforeAutospacing="0" w:after="0" w:afterAutospacing="0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Сессия 44-ФЗ (21-22 января)</w:t>
      </w:r>
    </w:p>
    <w:p w:rsidR="009B41D3" w:rsidRDefault="009B41D3" w:rsidP="00F46EF8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</w:p>
    <w:p w:rsidR="009B41D3" w:rsidRDefault="00F46EF8" w:rsidP="009B41D3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1-й день (</w:t>
      </w:r>
      <w:r w:rsidR="0093682C"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2</w:t>
      </w:r>
      <w:r w:rsidR="00F04AF9"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1</w:t>
      </w: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93682C" w:rsidRPr="009B41D3" w:rsidRDefault="00F46EF8" w:rsidP="009B41D3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F46EF8">
        <w:rPr>
          <w:b/>
          <w:bCs/>
          <w:sz w:val="22"/>
          <w:szCs w:val="22"/>
        </w:rPr>
        <w:br/>
      </w:r>
      <w:r w:rsidR="0093682C" w:rsidRPr="00DC595E">
        <w:rPr>
          <w:rFonts w:ascii="Verdana" w:hAnsi="Verdana"/>
          <w:b/>
          <w:bCs/>
          <w:sz w:val="20"/>
          <w:szCs w:val="20"/>
        </w:rPr>
        <w:t>Изменения 2019 года в Законе о контрактной системе. Другой госзаказ.</w:t>
      </w:r>
    </w:p>
    <w:p w:rsidR="00F46EF8" w:rsidRPr="0093682C" w:rsidRDefault="00F46EF8" w:rsidP="00F46EF8">
      <w:pPr>
        <w:pStyle w:val="afe"/>
        <w:spacing w:before="0" w:beforeAutospacing="0" w:after="0" w:afterAutospacing="0"/>
        <w:rPr>
          <w:rStyle w:val="ad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Обзор изменений 2019 года.  Планируемые изменения 2020 г.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Субъекты закупочного процесса.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9"/>
        </w:numPr>
        <w:shd w:val="clear" w:color="auto" w:fill="FFFFFF"/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Комиссии по закупкам. Взаимодействие контрактной службы (контрактного управляющего) с комиссией по закупкам. Построение эффективной системы закупок.</w:t>
      </w:r>
    </w:p>
    <w:p w:rsidR="0093682C" w:rsidRDefault="0093682C" w:rsidP="0093682C">
      <w:pPr>
        <w:numPr>
          <w:ilvl w:val="0"/>
          <w:numId w:val="29"/>
        </w:numPr>
        <w:shd w:val="clear" w:color="auto" w:fill="FFFFFF"/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Требования к участникам закупок. Единый реестр участников закупки: как зарегистрироваться. Реестр аккредитованных участников электронных процедур. Дополнительные требования. Новый механизм реализации дополнительных требований к участникам закупок. Изменения в ПП РФ №99. Конфликт интересов и </w:t>
      </w:r>
      <w:proofErr w:type="spellStart"/>
      <w:r w:rsidRPr="0093682C">
        <w:rPr>
          <w:rFonts w:ascii="Times New Roman" w:hAnsi="Times New Roman"/>
          <w:bCs/>
          <w:sz w:val="22"/>
          <w:szCs w:val="22"/>
        </w:rPr>
        <w:t>аффилированность</w:t>
      </w:r>
      <w:proofErr w:type="spellEnd"/>
      <w:r w:rsidRPr="0093682C">
        <w:rPr>
          <w:rFonts w:ascii="Times New Roman" w:hAnsi="Times New Roman"/>
          <w:bCs/>
          <w:sz w:val="22"/>
          <w:szCs w:val="22"/>
        </w:rPr>
        <w:t xml:space="preserve"> участников. Подтверждение статуса СМП. Расчет доли закупок для СМП и СОНКО.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Планирование закупок по правилам 44-ФЗ. Изменения, вступающие в силу с 01 октября 2019 года. Составление планов-графиков.</w:t>
      </w:r>
    </w:p>
    <w:p w:rsidR="0093682C" w:rsidRP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lastRenderedPageBreak/>
        <w:t>Нормативно-правовые акты, регламентирующие планирование. Изменения в подходе к планированию. Сроки подготовки и формирования планов. Алгоритм действий заказчика при утверждении и размещении планов. Особенности заполнения форм. Внесение изменений в планы-графики. Порядок осуществления контроля.</w:t>
      </w:r>
    </w:p>
    <w:p w:rsidR="0093682C" w:rsidRP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Обоснование закупок. Особенности заполнения формы обоснования закупки. Обязательное общественное обсуждение. Идентификационный код закупки – что с ним будет? Использование Каталога товаров, работ, услуг – обязательно или нет? Использование «Условной единицы» при составлении плана-графика и проведение закупки. Подбор кодов ОКПД2 в сложных закупках. Порядок работы ЕИС. Нормативные затраты и нормативные требования. </w:t>
      </w:r>
    </w:p>
    <w:p w:rsid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Начальная (максимальная) цена контракта. Когда обосновывать и как? Методы определения начальной (максимальной) цены. Сущность и обоснование НМЦК. Автоматизированные системы формирования НМЦК.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Национальный режим. Описание объекта закупки (Технические задания).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Изменения в закупке строительных работ и капитального ремонта.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Постановления Правительства, регулирующие применение национального режима при осуществлении закупок. Правила применения Приказа Минфина 126н. Совмещение постановлений и Приказа 126н.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Правила описания объекта закупки, изменения в статье 33. Реформа закупок «без объема». Закупки продукции с товарным знаком. Избыточные требования в техническом задании. Форма ТЗ. Ошибки при разработке технического задания. Практика ФАС. 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Ошибки поставщиков (подрядчиков, исполнителей) при составлении заявки. В конкурсах анонимность прежде всего!</w:t>
      </w:r>
    </w:p>
    <w:p w:rsidR="00290F49" w:rsidRDefault="006F2F94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6988A" wp14:editId="7B86DCE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626225" cy="0"/>
                <wp:effectExtent l="12700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4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8.1pt;width:52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"/>
            </w:pict>
          </mc:Fallback>
        </mc:AlternateContent>
      </w:r>
    </w:p>
    <w:p w:rsidR="00875FD3" w:rsidRPr="00183120" w:rsidRDefault="000C0D2F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14532380"/>
      <w:r w:rsidRPr="00183120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2143D" w:rsidRPr="00183120">
        <w:rPr>
          <w:rFonts w:ascii="Times New Roman" w:hAnsi="Times New Roman"/>
          <w:b/>
          <w:bCs/>
          <w:color w:val="FF0000"/>
          <w:sz w:val="24"/>
          <w:szCs w:val="24"/>
        </w:rPr>
        <w:t xml:space="preserve">-й день </w:t>
      </w:r>
      <w:r w:rsidR="006F2F94" w:rsidRPr="00183120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6A79E8" w:rsidRPr="00183120">
        <w:rPr>
          <w:rFonts w:ascii="Times New Roman" w:hAnsi="Times New Roman"/>
          <w:b/>
          <w:bCs/>
          <w:color w:val="FF0000"/>
          <w:sz w:val="24"/>
          <w:szCs w:val="24"/>
        </w:rPr>
        <w:t>22</w:t>
      </w:r>
      <w:r w:rsidR="004069BE" w:rsidRPr="00183120">
        <w:rPr>
          <w:rFonts w:ascii="Times New Roman" w:hAnsi="Times New Roman"/>
          <w:b/>
          <w:bCs/>
          <w:color w:val="FF0000"/>
          <w:sz w:val="24"/>
          <w:szCs w:val="24"/>
        </w:rPr>
        <w:t xml:space="preserve"> января) </w:t>
      </w:r>
      <w:r w:rsidR="00F2143D" w:rsidRPr="00183120">
        <w:rPr>
          <w:rFonts w:ascii="Times New Roman" w:hAnsi="Times New Roman"/>
          <w:b/>
          <w:bCs/>
          <w:color w:val="FF0000"/>
          <w:sz w:val="24"/>
          <w:szCs w:val="24"/>
        </w:rPr>
        <w:t>с 10:00 до 17:00</w:t>
      </w:r>
    </w:p>
    <w:p w:rsidR="0093682C" w:rsidRDefault="0093682C" w:rsidP="004069BE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bookmarkEnd w:id="1"/>
    <w:bookmarkEnd w:id="3"/>
    <w:p w:rsidR="0093682C" w:rsidRPr="0093682C" w:rsidRDefault="0093682C" w:rsidP="0093682C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Осуществление закупок путем проведения конкурентных процедур. Закупки у единственного поставщика. Банковские гарантии.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Закупка у единственного поставщика. Действия заказчика при закупке у единственного поставщика. Отмена извещения по закупке у ЕП. Закупки малого объема и «искусственное дробление» закупки. Административная практика. </w:t>
      </w:r>
      <w:r w:rsidRPr="0093682C">
        <w:rPr>
          <w:rFonts w:ascii="Times New Roman" w:hAnsi="Times New Roman"/>
          <w:b/>
          <w:bCs/>
          <w:sz w:val="22"/>
          <w:szCs w:val="22"/>
        </w:rPr>
        <w:t>Изменения в статью 93 Закона</w:t>
      </w:r>
      <w:r w:rsidRPr="0093682C">
        <w:rPr>
          <w:rFonts w:ascii="Times New Roman" w:hAnsi="Times New Roman"/>
          <w:bCs/>
          <w:sz w:val="22"/>
          <w:szCs w:val="22"/>
        </w:rPr>
        <w:t>. ЕАТ «Березка».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Выбор способа определения поставщика (подрядчика, исполнителя). Электронные закупки. Условия и сроки отмены процедур.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Отбор операторов электронных площадок. Взаимодействие заказчика и оператора электронной площадки. Работа со специальными счетами в банках. Финансовая сторона участия в закупках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Изменения в процедуре электронного аукциона: сроки и стоимость. Электронный конкурс. Запрос котировок и запрос предложений в электронной форме. Сроки и условия участия. Обязательные требования к документации. Примеры работы на электронных площадках. Новые элементы электронных процедур. Плата за победу в конкурентной закупке.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Конкурс с ограниченным участием. Изменения по отдыху детей. Запрет субподряда.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Типовая документация и типовые заявки. Будет или нет?!?</w:t>
      </w:r>
    </w:p>
    <w:p w:rsid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Требования к банковской гарантии. Реестр банковских гарантий. Требования к банкам, их финансовой устойчивости. Планируемые изменения. Изменения с 1 июля в порядке и сроках предоставления банковских гарантий.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Контракт по результатам закупок. Контроль в сфере закупок.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Обязательные условия в контракте. Сроки заключения и условия авансирования в контракте. Содержание, структура и специальные условия контрактов. Изменение контракта. Дополнительное соглашение, в том числе об исполнении контракта. Порядок исполнения контракта. Изменения в порядке описания Пеней и штрафов. Расторжение контракта. Реестр контрактов. Отчетность при исполнении контракта. Типовые контракты и условия контрактов. Новые права Минфина.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Изменение существенных условий контрактов: что еще возможно менять с 1 июля.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Расторжение контракта в одностороннем порядке. Когда можно заключаться со «вторым» участником?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lastRenderedPageBreak/>
        <w:t>НДС в контракте. Различная судебная практика. Стоит ли изменять условия контракта по цене из-за увеличения НДС.</w:t>
      </w:r>
    </w:p>
    <w:p w:rsid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Приемка и экспертиза при исполнении. Эксперты и экспертные заключения. Требования к оформлению результатов экспертизы. Ответственность экспертов: административная и уголовная. Изменения с января 2019 года. Возможность подписания актов приемки в электронном виде.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  <w:u w:val="single"/>
        </w:rPr>
        <w:t>Деловая игра: «Заключение договора по результатам запроса котировок: Меняем точку зрения».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Размещение отчетов об исполнении контрактов. Упрощение закупочного процесса с 12 мая. Позиции региональных контрольных органов.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Контроль в сфере закупок. Реестр недобросовестных поставщиков. Изменения в сроках при внесении поставщика в РНП.</w:t>
      </w:r>
    </w:p>
    <w:p w:rsid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Реформа контроля в сфере закупок. Обжалование действий (бездействия) заказчика и других участников контрактной системы. Ответственность заказчика и поставщика. Административная практика. Уголовная ответственность за злоупотребление в сфере закупок и подкуп работников контрактных служб. ГИС «Независимый регистратор».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Круглый стол: «Влияние изменений в законодательстве о закупках на деятельность контрактных служб и контрактных управляющих».</w:t>
      </w:r>
    </w:p>
    <w:p w:rsid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Обсуждение практических вопросов, рекомендации. Информация представлена в виде интеллект карт.</w:t>
      </w: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81BF4" w:rsidRDefault="00C81BF4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1335" wp14:editId="2C4EC62D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6626225" cy="0"/>
                <wp:effectExtent l="12700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A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.25pt;margin-top:1.3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"/>
            </w:pict>
          </mc:Fallback>
        </mc:AlternateContent>
      </w:r>
    </w:p>
    <w:p w:rsidR="009B41D3" w:rsidRPr="00183120" w:rsidRDefault="009B41D3" w:rsidP="009B41D3">
      <w:pPr>
        <w:pStyle w:val="afe"/>
        <w:spacing w:before="0" w:beforeAutospacing="0" w:after="0" w:afterAutospacing="0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Сессия </w:t>
      </w:r>
      <w:r w:rsidR="00E03309">
        <w:rPr>
          <w:rStyle w:val="ad"/>
          <w:rFonts w:ascii="Times New Roman" w:hAnsi="Times New Roman" w:cs="Times New Roman"/>
          <w:color w:val="FF0000"/>
          <w:sz w:val="24"/>
          <w:szCs w:val="24"/>
        </w:rPr>
        <w:t>223</w:t>
      </w:r>
      <w:bookmarkStart w:id="4" w:name="_GoBack"/>
      <w:bookmarkEnd w:id="4"/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-ФЗ (23-24 января)</w:t>
      </w:r>
    </w:p>
    <w:p w:rsidR="009B41D3" w:rsidRDefault="009B41D3" w:rsidP="0093682C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</w:p>
    <w:p w:rsidR="0093682C" w:rsidRPr="00183120" w:rsidRDefault="0093682C" w:rsidP="0093682C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3-й день (2</w:t>
      </w:r>
      <w:r w:rsidR="006A79E8"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3</w:t>
      </w: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93682C" w:rsidRPr="00470FF1" w:rsidRDefault="0093682C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3682C">
        <w:rPr>
          <w:rStyle w:val="ad"/>
          <w:rFonts w:ascii="Times New Roman" w:hAnsi="Times New Roman" w:cs="Times New Roman"/>
          <w:sz w:val="24"/>
          <w:szCs w:val="24"/>
        </w:rPr>
        <w:t xml:space="preserve">223-ФЗ: Нормативные основы и правила эффективных закупок товаров, работ, услуг отдельными </w:t>
      </w:r>
      <w:r w:rsidRPr="00470FF1">
        <w:rPr>
          <w:rStyle w:val="ad"/>
          <w:rFonts w:ascii="Times New Roman" w:hAnsi="Times New Roman" w:cs="Times New Roman"/>
          <w:sz w:val="22"/>
          <w:szCs w:val="22"/>
        </w:rPr>
        <w:t>видами юридических лиц.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Нормативно-правовые основы закупок отдельных видов юридических лиц.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Формирование нормативной базы документов. Практика Судов. Видение Положения о закупках ФАС РФ. Регламент закупочной деятельности ФАС РФ.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Включение в перечень новых направлений деятельности.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Установление требований, защищающих права и интересы заказчика.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Структура Положения, терминология.</w:t>
      </w:r>
    </w:p>
    <w:p w:rsid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Закупки у СМСП. Кто является субъектами Закона о развитии среднего и малого предпринимательства.</w: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Планирование закупок.</w:t>
      </w:r>
    </w:p>
    <w:p w:rsidR="00470FF1" w:rsidRPr="00470FF1" w:rsidRDefault="00470FF1" w:rsidP="00470FF1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Составление плана закупок. Увеличение сроков планирования закупок для СМСП. Обязанность исполнения ПЗ. Сроки и поводы для внесения изменений в ПЗ. Составление плана закупок по инновационной, высокотехнологичной продукции и лекарственных средств. Что писать в Положение о закупках в разделе Планирование.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Способы закупки.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Какие способы закупки указать в положение. Конкурентные и неконкурентные способы. Условия применения способов закупок. Сроки и регламент конкурентной закупки. Случаи несостоявшихся закупок.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Особенности планирования и проведение закупок для СМСП. Сроки, правила проведения, наличие этапов в закупках у СМСП. Операторы электронных площадок для проведения электронных закупок.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содержанию протоколов, составляемых в ходе конкурентной закупки. Требования к содержанию протокола, составляемого по итогам конкурентной закупки.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eastAsia="Calibri" w:hAnsi="Times New Roman"/>
          <w:sz w:val="22"/>
          <w:szCs w:val="22"/>
        </w:rPr>
        <w:t>Укрупнение лота в закупках как правомерное увеличение объемов закупки, НМЦД, суммы обеспечения заявки и исполнения договора.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lastRenderedPageBreak/>
        <w:t>Неконкурентные способы закупок. Как написать в положение. Закупки у единственного поставщика. Ограничения и условия применения. Варианты закупок у единственного поставщика. Закупка у взаимозависимых лиц. «Дробление» закупок.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Размещение информации в ЕИС. Порядок и способы.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Централизованные, совместные закупки. Закрытые закупки.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Комиссии по закупкам.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Функции комиссии. Условия создания. Принятие решений членами комиссии. Конфликт интересов.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Начальная максимальная цена договора. Извещение и документация.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Способы формирования начальной максимальной цены договора. Условия размещения в закупке.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Требование к составлению извещения. Состав извещения. Приведение в соответствие с законодательством.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документации. Соответствие положению о закупке. Сроки утверждения.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eastAsia="Calibri" w:hAnsi="Times New Roman"/>
          <w:b/>
          <w:sz w:val="22"/>
          <w:szCs w:val="22"/>
        </w:rPr>
        <w:t>ФОРМУЛЫ</w:t>
      </w:r>
      <w:r w:rsidRPr="00470FF1">
        <w:rPr>
          <w:rFonts w:ascii="Times New Roman" w:eastAsia="Calibri" w:hAnsi="Times New Roman"/>
          <w:sz w:val="22"/>
          <w:szCs w:val="22"/>
        </w:rPr>
        <w:t xml:space="preserve"> цены для расчета с поставщиками, подрядчиками, исполнителями: условия новой практики реализации требований п. 5 ч. 9 ст. 4 № 223-ФЗ (в редакции №505-ФЗ): примеры из практики некоторых заказчиков.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Требования к участникам закупок. 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Требования к участникам закупок (обязательные и важные для заказчика). Как закупить у </w:t>
      </w:r>
      <w:proofErr w:type="gramStart"/>
      <w:r w:rsidRPr="00470FF1">
        <w:rPr>
          <w:rFonts w:ascii="Times New Roman" w:hAnsi="Times New Roman"/>
          <w:bCs/>
          <w:sz w:val="22"/>
          <w:szCs w:val="22"/>
        </w:rPr>
        <w:t>того</w:t>
      </w:r>
      <w:proofErr w:type="gramEnd"/>
      <w:r w:rsidRPr="00470FF1">
        <w:rPr>
          <w:rFonts w:ascii="Times New Roman" w:hAnsi="Times New Roman"/>
          <w:bCs/>
          <w:sz w:val="22"/>
          <w:szCs w:val="22"/>
        </w:rPr>
        <w:t xml:space="preserve"> кто исполнит. Что прописать в положении. Как это должно соответствовать документации. Коллективный участник. 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Обеспечение заявки. Специальные счета в банках для СМСП: выбор банка, открытие и ведение счета.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составу заявки участника закупки. Случаи отклонения. Требования к содержанию заявок на участие в электронных закупках.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Практика Судов и ФАС РФ по завышенным требованиям к участникам закупок.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Преференции для СМСП.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Логика составления Перечня ТРУ для закупок у СМСП: какие коды ОКПД2 вносить, как набрать необходимый процент закупок. Надо ли применять ПП РФ №1352 тем, кто не обязан этого делать?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Увеличение объемов закупок у СМСП. 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Постановление Правительства РФ от 11.12.2014 N 1352 </w:t>
      </w:r>
      <w:r w:rsidRPr="00470FF1">
        <w:rPr>
          <w:rFonts w:ascii="Times New Roman" w:hAnsi="Times New Roman"/>
          <w:bCs/>
          <w:sz w:val="22"/>
          <w:szCs w:val="22"/>
        </w:rPr>
        <w:t>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Другие разделы положения о закупке.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Критерии и порядок оценки заявок. Весомость критериев. </w:t>
      </w:r>
    </w:p>
    <w:p w:rsid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470FF1">
        <w:rPr>
          <w:rFonts w:ascii="Times New Roman" w:hAnsi="Times New Roman"/>
          <w:bCs/>
          <w:sz w:val="22"/>
          <w:szCs w:val="22"/>
        </w:rPr>
        <w:t>Антидемпинг</w:t>
      </w:r>
      <w:proofErr w:type="spellEnd"/>
      <w:r w:rsidRPr="00470FF1">
        <w:rPr>
          <w:rFonts w:ascii="Times New Roman" w:hAnsi="Times New Roman"/>
          <w:bCs/>
          <w:sz w:val="22"/>
          <w:szCs w:val="22"/>
        </w:rPr>
        <w:t>: писать или нет. Какие критерии ставить. Применять ли данную норму в Законе о закупках отдельных видов юридических лиц.</w: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71CE" wp14:editId="02BBD44A">
                <wp:simplePos x="0" y="0"/>
                <wp:positionH relativeFrom="column">
                  <wp:posOffset>27940</wp:posOffset>
                </wp:positionH>
                <wp:positionV relativeFrom="paragraph">
                  <wp:posOffset>159657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4B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.2pt;margin-top:12.5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"/>
            </w:pict>
          </mc:Fallback>
        </mc:AlternateConten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70FF1" w:rsidRPr="00183120" w:rsidRDefault="00470FF1" w:rsidP="00470FF1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4-й день (2</w:t>
      </w:r>
      <w:r w:rsidR="006A79E8"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>4</w:t>
      </w:r>
      <w:r w:rsidRPr="00183120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470FF1" w:rsidRPr="00887EBD" w:rsidRDefault="00470FF1" w:rsidP="00470FF1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Описание предмета закупки.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Правила описания предмета закупки. Как закупить то, что хочется. Требования к «эквивалентности», когда можно не указывать «или эквивалент». 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Правила подготовки и требования к содержанию Технических заданий. Технические регламенты, ГОСТы, СНиПы, СанПиНы и т.д., как описать иностранный товар без ГОСТов.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Решения судов и практика ФАС РФ по обоснованию «товарного знака».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Что такое товарный знак. Легальные способы закупки с товарным знаком. Решения Арбитражных судов 2019 года. Обзор решений Верховного Суда РФ.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eastAsia="Calibri" w:hAnsi="Times New Roman"/>
          <w:sz w:val="22"/>
          <w:szCs w:val="22"/>
        </w:rPr>
        <w:t>Требования о предоставлении участником подробных сведений об эквивалентном предложении с указанием причин замены требуемого к поставке предмета закупки.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Эффективная договорная работа. Изменение и расторжение договора.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lastRenderedPageBreak/>
        <w:t xml:space="preserve">Сроки и порядок заключения договора. Рамочные, опционные договоры. Протокол разногласий. Разработка условий договора, защищающих заказчика от недобросовестных поставщиков, исполнителей, подрядчиков. Договор с коллективным участником.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Обеспечение исполнения договора: форма и сроки.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НДС в составе цены – как проводить оценку предложений и можно ли уменьшать цену при победе организации работающей на УСНО (позиция Судов, ФАС, Минфина).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Новые правила ведения реестра договоров. Закрытая и открытая информация.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Порядок изменения договоров. Случаи, когда и как вносить изменения. Случаи изменения цены договора.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Порядок расторжения. Внесение поставщика (подрядчика, исполнителя) в РНП.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Контроль. Расширение полномочий контрольных органов. Дополнительные полномочия Счетной палаты и </w:t>
      </w:r>
      <w:proofErr w:type="spellStart"/>
      <w:r w:rsidRPr="00470FF1">
        <w:rPr>
          <w:rFonts w:ascii="Times New Roman" w:hAnsi="Times New Roman"/>
          <w:b/>
          <w:bCs/>
          <w:sz w:val="22"/>
          <w:szCs w:val="22"/>
        </w:rPr>
        <w:t>МинФина</w:t>
      </w:r>
      <w:proofErr w:type="spellEnd"/>
      <w:r w:rsidRPr="00470FF1">
        <w:rPr>
          <w:rFonts w:ascii="Times New Roman" w:hAnsi="Times New Roman"/>
          <w:b/>
          <w:bCs/>
          <w:sz w:val="22"/>
          <w:szCs w:val="22"/>
        </w:rPr>
        <w:t xml:space="preserve"> РФ.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Случаи административной ответственности в рамках 223-ФЗ. Кейсы по административной ответственности.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Ведомственный контроль в закупках отдельных видов юридических лиц. Разработанные документы по ведомственному контролю.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Новые требования к содержанию ежемесячной отчетности. Как представить информацию красиво.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Постановление Правительства РФ от 16 сентября 2016 г. N 925 </w:t>
      </w:r>
      <w:r w:rsidRPr="00470FF1">
        <w:rPr>
          <w:rFonts w:ascii="Times New Roman" w:hAnsi="Times New Roman"/>
          <w:bCs/>
          <w:sz w:val="22"/>
          <w:szCs w:val="22"/>
        </w:rPr>
        <w:t>«О приоритете товаров российского происхождения, работ, услуг, выполняемых, оказываемых российскими лицами…»:</w:t>
      </w:r>
    </w:p>
    <w:p w:rsidR="00470FF1" w:rsidRPr="00470FF1" w:rsidRDefault="00470FF1" w:rsidP="00470FF1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Правила оценки заявок.</w:t>
      </w:r>
    </w:p>
    <w:p w:rsidR="00470FF1" w:rsidRPr="00470FF1" w:rsidRDefault="00470FF1" w:rsidP="00470FF1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Позиции Центрального аппарата ФАС России, территориальных органов ФАС России, Минэкономразвития России и судов.</w:t>
      </w:r>
    </w:p>
    <w:p w:rsidR="00470FF1" w:rsidRPr="00470FF1" w:rsidRDefault="00470FF1" w:rsidP="00470FF1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Обсуждение практических вопросов, рекомендации.</w:t>
      </w:r>
    </w:p>
    <w:p w:rsidR="00F4076C" w:rsidRPr="00470FF1" w:rsidRDefault="00470FF1" w:rsidP="00470FF1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Вся информация представлена в виде схем и таблиц.</w:t>
      </w:r>
    </w:p>
    <w:p w:rsid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C142FE" w:rsidRPr="00136AFF" w:rsidRDefault="00C142FE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BD64C" wp14:editId="78E923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0EC9" id="Прямая со стрелкой 2" o:spid="_x0000_s1026" type="#_x0000_t32" style="position:absolute;margin-left:0;margin-top:.75pt;width:52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Pr="00750C8E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750C8E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96879" w:rsidRPr="00796879" w:rsidRDefault="00796879" w:rsidP="00796879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 xml:space="preserve">Семинар </w:t>
      </w:r>
      <w:r w:rsidR="00C142FE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 xml:space="preserve">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</w:rPr>
        <w:t>42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</w:t>
      </w:r>
      <w:r w:rsidR="00C142FE">
        <w:rPr>
          <w:rFonts w:ascii="Times New Roman" w:hAnsi="Times New Roman"/>
          <w:color w:val="000000"/>
          <w:sz w:val="22"/>
          <w:szCs w:val="22"/>
        </w:rPr>
        <w:t>четыре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дня, обеды, методические разработки, именной сертификат участника</w:t>
      </w:r>
      <w:r w:rsidR="00C142F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142FE" w:rsidRPr="00C142FE">
        <w:rPr>
          <w:rFonts w:ascii="Times New Roman" w:hAnsi="Times New Roman"/>
          <w:color w:val="000000"/>
          <w:sz w:val="22"/>
          <w:szCs w:val="22"/>
        </w:rPr>
        <w:t>Диплома о профессиональной переподготовке (Эксперт/Специалист)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35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C142FE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="00796879">
        <w:rPr>
          <w:rFonts w:ascii="Times New Roman" w:hAnsi="Times New Roman"/>
          <w:b/>
          <w:bCs/>
          <w:color w:val="000000"/>
          <w:sz w:val="22"/>
          <w:szCs w:val="22"/>
        </w:rPr>
        <w:t xml:space="preserve"> (сессия 223-ФЗ</w:t>
      </w:r>
      <w:r w:rsidR="00C142FE">
        <w:rPr>
          <w:rFonts w:ascii="Times New Roman" w:hAnsi="Times New Roman"/>
          <w:b/>
          <w:bCs/>
          <w:color w:val="000000"/>
          <w:sz w:val="22"/>
          <w:szCs w:val="22"/>
        </w:rPr>
        <w:t xml:space="preserve"> или 44-ФЗ</w:t>
      </w:r>
      <w:r w:rsidR="00796879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2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  <w:bookmarkStart w:id="5" w:name="_Hlk17460158"/>
    </w:p>
    <w:p w:rsidR="00D8536E" w:rsidRPr="00C142FE" w:rsidRDefault="00D8536E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bookmarkEnd w:id="5"/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177008" w:rsidRDefault="0017700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9D5D41" w:rsidRDefault="009D5D4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9D5D41" w:rsidRDefault="009D5D4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9D5D41" w:rsidRDefault="009D5D4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9D5D41" w:rsidRDefault="009D5D4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9D5D41" w:rsidRDefault="009D5D4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6E99" wp14:editId="3C42B122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F701F0" w:rsidRDefault="00F701F0" w:rsidP="00F701F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F701F0" w:rsidRDefault="00F701F0" w:rsidP="00F701F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F701F0" w:rsidRDefault="00F701F0" w:rsidP="00F701F0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bookmarkEnd w:id="2"/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8F488F" w:rsidRDefault="00177008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44"/>
                <w:szCs w:val="44"/>
              </w:rPr>
            </w:pPr>
            <w:r w:rsidRPr="00177008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>«Изменения законодательства 2019 года. Федеральные законы 44-ФЗ и 223-ФЗ. Новые правила работы, разъяснения и практика. Особенности корпоративных закупок в 2019-2020 г.»</w:t>
            </w:r>
          </w:p>
        </w:tc>
      </w:tr>
      <w:tr w:rsidR="00F04AF9" w:rsidRPr="005F3F9F" w:rsidTr="003C0CEA">
        <w:tc>
          <w:tcPr>
            <w:tcW w:w="10549" w:type="dxa"/>
            <w:gridSpan w:val="6"/>
            <w:shd w:val="clear" w:color="auto" w:fill="auto"/>
          </w:tcPr>
          <w:p w:rsidR="00F04AF9" w:rsidRPr="005F3F9F" w:rsidRDefault="00F04AF9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Pr="00842E0F" w:rsidRDefault="00B0213F" w:rsidP="00B0213F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B0213F" w:rsidRDefault="00B0213F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Default="00B0213F" w:rsidP="008A00E4">
      <w:pPr>
        <w:spacing w:after="0"/>
        <w:jc w:val="center"/>
        <w:rPr>
          <w:rFonts w:ascii="Arial" w:eastAsia="MS Mincho" w:hAnsi="Arial" w:cs="Arial"/>
        </w:rPr>
      </w:pPr>
    </w:p>
    <w:p w:rsidR="002D799A" w:rsidRDefault="002D799A" w:rsidP="00F701F0">
      <w:pPr>
        <w:spacing w:after="0"/>
        <w:rPr>
          <w:rFonts w:ascii="Arial" w:eastAsia="MS Mincho" w:hAnsi="Arial" w:cs="Arial"/>
        </w:rPr>
      </w:pPr>
    </w:p>
    <w:p w:rsidR="00F701F0" w:rsidRPr="00F701F0" w:rsidRDefault="00F701F0" w:rsidP="00F701F0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  <w:r w:rsidRPr="00F701F0">
        <w:rPr>
          <w:rFonts w:ascii="Times New Roman" w:hAnsi="Times New Roman"/>
          <w:b/>
          <w:bCs/>
          <w:i/>
          <w:color w:val="1F3864" w:themeColor="accent1" w:themeShade="80"/>
        </w:rPr>
        <w:t>Центр образования «ЭВЕРЕСТ», тел: 8 (495) 988-11-81</w:t>
      </w:r>
    </w:p>
    <w:p w:rsidR="00F701F0" w:rsidRPr="009B41D3" w:rsidRDefault="00F701F0" w:rsidP="00F701F0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mail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 xml:space="preserve">: 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info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@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 xml:space="preserve">, 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dogovor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@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 xml:space="preserve">; 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</w:rPr>
        <w:t>сайт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 xml:space="preserve">: 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www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9B41D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F701F0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</w:p>
    <w:p w:rsidR="004F17E4" w:rsidRPr="009B41D3" w:rsidRDefault="004F17E4" w:rsidP="00F701F0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</w:p>
    <w:sectPr w:rsidR="004F17E4" w:rsidRPr="009B41D3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78" w:rsidRDefault="00590C78" w:rsidP="00E83B9E">
      <w:pPr>
        <w:spacing w:after="0" w:line="240" w:lineRule="auto"/>
      </w:pPr>
      <w:r>
        <w:separator/>
      </w:r>
    </w:p>
  </w:endnote>
  <w:endnote w:type="continuationSeparator" w:id="0">
    <w:p w:rsidR="00590C78" w:rsidRDefault="00590C78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2F" w:rsidRDefault="000C0D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3309">
      <w:rPr>
        <w:noProof/>
      </w:rPr>
      <w:t>6</w:t>
    </w:r>
    <w:r>
      <w:fldChar w:fldCharType="end"/>
    </w:r>
  </w:p>
  <w:p w:rsidR="000C0D2F" w:rsidRDefault="000C0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78" w:rsidRDefault="00590C78" w:rsidP="00E83B9E">
      <w:pPr>
        <w:spacing w:after="0" w:line="240" w:lineRule="auto"/>
      </w:pPr>
      <w:r>
        <w:separator/>
      </w:r>
    </w:p>
  </w:footnote>
  <w:footnote w:type="continuationSeparator" w:id="0">
    <w:p w:rsidR="00590C78" w:rsidRDefault="00590C78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A7"/>
    <w:multiLevelType w:val="hybridMultilevel"/>
    <w:tmpl w:val="1D546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94E"/>
    <w:multiLevelType w:val="hybridMultilevel"/>
    <w:tmpl w:val="EBC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1AAF"/>
    <w:multiLevelType w:val="hybridMultilevel"/>
    <w:tmpl w:val="BB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225"/>
    <w:multiLevelType w:val="hybridMultilevel"/>
    <w:tmpl w:val="AC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C24FA"/>
    <w:multiLevelType w:val="hybridMultilevel"/>
    <w:tmpl w:val="D5526B48"/>
    <w:lvl w:ilvl="0" w:tplc="3310726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5FB3"/>
    <w:multiLevelType w:val="hybridMultilevel"/>
    <w:tmpl w:val="602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252F"/>
    <w:multiLevelType w:val="hybridMultilevel"/>
    <w:tmpl w:val="4DF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47D30"/>
    <w:multiLevelType w:val="hybridMultilevel"/>
    <w:tmpl w:val="E4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6C2"/>
    <w:multiLevelType w:val="hybridMultilevel"/>
    <w:tmpl w:val="0F9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8F8"/>
    <w:multiLevelType w:val="hybridMultilevel"/>
    <w:tmpl w:val="12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A01CF"/>
    <w:multiLevelType w:val="hybridMultilevel"/>
    <w:tmpl w:val="3AA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38"/>
  </w:num>
  <w:num w:numId="5">
    <w:abstractNumId w:val="10"/>
  </w:num>
  <w:num w:numId="6">
    <w:abstractNumId w:val="6"/>
  </w:num>
  <w:num w:numId="7">
    <w:abstractNumId w:val="33"/>
  </w:num>
  <w:num w:numId="8">
    <w:abstractNumId w:val="7"/>
  </w:num>
  <w:num w:numId="9">
    <w:abstractNumId w:val="14"/>
  </w:num>
  <w:num w:numId="10">
    <w:abstractNumId w:val="27"/>
  </w:num>
  <w:num w:numId="11">
    <w:abstractNumId w:val="12"/>
  </w:num>
  <w:num w:numId="12">
    <w:abstractNumId w:val="13"/>
  </w:num>
  <w:num w:numId="13">
    <w:abstractNumId w:val="21"/>
  </w:num>
  <w:num w:numId="14">
    <w:abstractNumId w:val="28"/>
  </w:num>
  <w:num w:numId="15">
    <w:abstractNumId w:val="16"/>
  </w:num>
  <w:num w:numId="16">
    <w:abstractNumId w:val="20"/>
  </w:num>
  <w:num w:numId="17">
    <w:abstractNumId w:val="35"/>
  </w:num>
  <w:num w:numId="18">
    <w:abstractNumId w:val="3"/>
  </w:num>
  <w:num w:numId="19">
    <w:abstractNumId w:val="26"/>
  </w:num>
  <w:num w:numId="20">
    <w:abstractNumId w:val="25"/>
  </w:num>
  <w:num w:numId="21">
    <w:abstractNumId w:val="19"/>
  </w:num>
  <w:num w:numId="22">
    <w:abstractNumId w:val="32"/>
  </w:num>
  <w:num w:numId="23">
    <w:abstractNumId w:val="31"/>
  </w:num>
  <w:num w:numId="24">
    <w:abstractNumId w:val="4"/>
  </w:num>
  <w:num w:numId="25">
    <w:abstractNumId w:val="30"/>
  </w:num>
  <w:num w:numId="26">
    <w:abstractNumId w:val="5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9"/>
  </w:num>
  <w:num w:numId="32">
    <w:abstractNumId w:val="37"/>
  </w:num>
  <w:num w:numId="33">
    <w:abstractNumId w:val="15"/>
  </w:num>
  <w:num w:numId="34">
    <w:abstractNumId w:val="17"/>
  </w:num>
  <w:num w:numId="35">
    <w:abstractNumId w:val="36"/>
  </w:num>
  <w:num w:numId="36">
    <w:abstractNumId w:val="18"/>
  </w:num>
  <w:num w:numId="37">
    <w:abstractNumId w:val="11"/>
  </w:num>
  <w:num w:numId="38">
    <w:abstractNumId w:val="34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C0D2F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1F44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008"/>
    <w:rsid w:val="00177F09"/>
    <w:rsid w:val="00181FB9"/>
    <w:rsid w:val="00182795"/>
    <w:rsid w:val="00183120"/>
    <w:rsid w:val="00183D7A"/>
    <w:rsid w:val="00187B2B"/>
    <w:rsid w:val="00195230"/>
    <w:rsid w:val="00195945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563C"/>
    <w:rsid w:val="001C62CC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90F49"/>
    <w:rsid w:val="00293BDE"/>
    <w:rsid w:val="002A2623"/>
    <w:rsid w:val="002A4D87"/>
    <w:rsid w:val="002A6499"/>
    <w:rsid w:val="002A66D3"/>
    <w:rsid w:val="002B09C2"/>
    <w:rsid w:val="002B271E"/>
    <w:rsid w:val="002B51D6"/>
    <w:rsid w:val="002C3846"/>
    <w:rsid w:val="002D6D13"/>
    <w:rsid w:val="002D799A"/>
    <w:rsid w:val="002E0248"/>
    <w:rsid w:val="002E4617"/>
    <w:rsid w:val="002F0FD7"/>
    <w:rsid w:val="002F1CE1"/>
    <w:rsid w:val="002F38C2"/>
    <w:rsid w:val="002F4817"/>
    <w:rsid w:val="002F4AF0"/>
    <w:rsid w:val="00312606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E5D"/>
    <w:rsid w:val="00392F26"/>
    <w:rsid w:val="00397812"/>
    <w:rsid w:val="003B14C3"/>
    <w:rsid w:val="003B2520"/>
    <w:rsid w:val="003B401B"/>
    <w:rsid w:val="003C0ACA"/>
    <w:rsid w:val="003C75E8"/>
    <w:rsid w:val="003D7100"/>
    <w:rsid w:val="003D76C3"/>
    <w:rsid w:val="003E3475"/>
    <w:rsid w:val="003F66C6"/>
    <w:rsid w:val="00403B72"/>
    <w:rsid w:val="004069BE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0FF1"/>
    <w:rsid w:val="00471C60"/>
    <w:rsid w:val="00483D43"/>
    <w:rsid w:val="004842BA"/>
    <w:rsid w:val="00484FCD"/>
    <w:rsid w:val="004854EE"/>
    <w:rsid w:val="00486359"/>
    <w:rsid w:val="00490DC7"/>
    <w:rsid w:val="00490F06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1C87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80EFD"/>
    <w:rsid w:val="00585A5A"/>
    <w:rsid w:val="00590C78"/>
    <w:rsid w:val="00590CAD"/>
    <w:rsid w:val="005953EE"/>
    <w:rsid w:val="005A089D"/>
    <w:rsid w:val="005A3770"/>
    <w:rsid w:val="005A5094"/>
    <w:rsid w:val="005B112E"/>
    <w:rsid w:val="005B16EE"/>
    <w:rsid w:val="005C57B4"/>
    <w:rsid w:val="005C5D7E"/>
    <w:rsid w:val="005E1D6E"/>
    <w:rsid w:val="005F3F9F"/>
    <w:rsid w:val="005F54BB"/>
    <w:rsid w:val="005F5CB6"/>
    <w:rsid w:val="005F7D9C"/>
    <w:rsid w:val="00602B78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A79E8"/>
    <w:rsid w:val="006B77A5"/>
    <w:rsid w:val="006B7914"/>
    <w:rsid w:val="006C3A2B"/>
    <w:rsid w:val="006C637B"/>
    <w:rsid w:val="006C65ED"/>
    <w:rsid w:val="006D43AD"/>
    <w:rsid w:val="006D7B19"/>
    <w:rsid w:val="006E7718"/>
    <w:rsid w:val="006F2F94"/>
    <w:rsid w:val="00701D11"/>
    <w:rsid w:val="0070590A"/>
    <w:rsid w:val="00706AD8"/>
    <w:rsid w:val="007121C9"/>
    <w:rsid w:val="00725B56"/>
    <w:rsid w:val="007314C7"/>
    <w:rsid w:val="00750C8E"/>
    <w:rsid w:val="00756DC3"/>
    <w:rsid w:val="00760D34"/>
    <w:rsid w:val="007706AC"/>
    <w:rsid w:val="00770CB9"/>
    <w:rsid w:val="00771654"/>
    <w:rsid w:val="0077658B"/>
    <w:rsid w:val="0079248B"/>
    <w:rsid w:val="00796879"/>
    <w:rsid w:val="007A0C7A"/>
    <w:rsid w:val="007A23D2"/>
    <w:rsid w:val="007A5105"/>
    <w:rsid w:val="007A6C42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2E0F"/>
    <w:rsid w:val="00843FA5"/>
    <w:rsid w:val="00852DA1"/>
    <w:rsid w:val="00860B9B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8F488F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82C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17C"/>
    <w:rsid w:val="00977273"/>
    <w:rsid w:val="0099071D"/>
    <w:rsid w:val="009916C9"/>
    <w:rsid w:val="0099576B"/>
    <w:rsid w:val="009A1341"/>
    <w:rsid w:val="009B302B"/>
    <w:rsid w:val="009B41D3"/>
    <w:rsid w:val="009B4989"/>
    <w:rsid w:val="009B6B73"/>
    <w:rsid w:val="009C49F7"/>
    <w:rsid w:val="009C5238"/>
    <w:rsid w:val="009D5D41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A641F"/>
    <w:rsid w:val="00AB6046"/>
    <w:rsid w:val="00AC0C02"/>
    <w:rsid w:val="00AD1E96"/>
    <w:rsid w:val="00AD3E46"/>
    <w:rsid w:val="00AF1E00"/>
    <w:rsid w:val="00AF3B29"/>
    <w:rsid w:val="00B0092F"/>
    <w:rsid w:val="00B0213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0317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142FE"/>
    <w:rsid w:val="00C215B2"/>
    <w:rsid w:val="00C32896"/>
    <w:rsid w:val="00C334D8"/>
    <w:rsid w:val="00C35838"/>
    <w:rsid w:val="00C4354F"/>
    <w:rsid w:val="00C4519B"/>
    <w:rsid w:val="00C52CBA"/>
    <w:rsid w:val="00C56933"/>
    <w:rsid w:val="00C57574"/>
    <w:rsid w:val="00C6439F"/>
    <w:rsid w:val="00C64B63"/>
    <w:rsid w:val="00C729CE"/>
    <w:rsid w:val="00C813C6"/>
    <w:rsid w:val="00C815F5"/>
    <w:rsid w:val="00C81BF4"/>
    <w:rsid w:val="00CA4F37"/>
    <w:rsid w:val="00CA61A3"/>
    <w:rsid w:val="00CB18B8"/>
    <w:rsid w:val="00CB3877"/>
    <w:rsid w:val="00CB5149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8536E"/>
    <w:rsid w:val="00DA3116"/>
    <w:rsid w:val="00DA5768"/>
    <w:rsid w:val="00DA59C6"/>
    <w:rsid w:val="00DB1ED7"/>
    <w:rsid w:val="00DC0400"/>
    <w:rsid w:val="00DC4F28"/>
    <w:rsid w:val="00DD3823"/>
    <w:rsid w:val="00DD4CFB"/>
    <w:rsid w:val="00DD5D08"/>
    <w:rsid w:val="00DD74D3"/>
    <w:rsid w:val="00DE4181"/>
    <w:rsid w:val="00DE475F"/>
    <w:rsid w:val="00DE5693"/>
    <w:rsid w:val="00DF349B"/>
    <w:rsid w:val="00E03309"/>
    <w:rsid w:val="00E03434"/>
    <w:rsid w:val="00E0361B"/>
    <w:rsid w:val="00E10646"/>
    <w:rsid w:val="00E15761"/>
    <w:rsid w:val="00E23B0D"/>
    <w:rsid w:val="00E252C4"/>
    <w:rsid w:val="00E348C6"/>
    <w:rsid w:val="00E41635"/>
    <w:rsid w:val="00E4782A"/>
    <w:rsid w:val="00E479EB"/>
    <w:rsid w:val="00E570BE"/>
    <w:rsid w:val="00E7103F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B47CB"/>
    <w:rsid w:val="00EC1616"/>
    <w:rsid w:val="00EC1A82"/>
    <w:rsid w:val="00EC3C1F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4AF9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46EF8"/>
    <w:rsid w:val="00F51893"/>
    <w:rsid w:val="00F663B5"/>
    <w:rsid w:val="00F701F0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AD8F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8F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3EC3-96A5-44EF-A0A4-F73CFE9E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76</cp:revision>
  <cp:lastPrinted>2019-01-09T07:07:00Z</cp:lastPrinted>
  <dcterms:created xsi:type="dcterms:W3CDTF">2019-10-08T13:25:00Z</dcterms:created>
  <dcterms:modified xsi:type="dcterms:W3CDTF">2019-12-26T10:52:00Z</dcterms:modified>
</cp:coreProperties>
</file>