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42B7188F" w:rsid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0535F2AE" w14:textId="6C96E347" w:rsidR="00380659" w:rsidRPr="00F90592" w:rsidRDefault="00380659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380659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Для профессионалов</w:t>
      </w:r>
      <w:r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!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0AA508AA" w14:textId="20D11CBA" w:rsidR="00536419" w:rsidRPr="00F90592" w:rsidRDefault="00DA67BD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13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-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14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февраля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</w:t>
      </w:r>
      <w:r w:rsidR="00536419"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="00536419"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Москва, гостиница «Гамма-Дельта».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42C3EE20" w14:textId="4F722ECF" w:rsidR="00F90592" w:rsidRDefault="00F90592" w:rsidP="00723031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3E49A940" w14:textId="085F1561" w:rsidR="003318A3" w:rsidRPr="00F90592" w:rsidRDefault="003318A3" w:rsidP="00723031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="001D2FB3" w:rsidRPr="00F90592">
        <w:rPr>
          <w:rFonts w:ascii="Times New Roman" w:hAnsi="Times New Roman"/>
          <w:i/>
          <w:spacing w:val="4"/>
        </w:rPr>
        <w:t xml:space="preserve"> - з</w:t>
      </w:r>
      <w:r w:rsidRPr="00F90592">
        <w:rPr>
          <w:rFonts w:ascii="Times New Roman" w:hAnsi="Times New Roman"/>
          <w:i/>
          <w:spacing w:val="4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</w:t>
      </w:r>
      <w:r w:rsidR="00723031" w:rsidRPr="00F90592">
        <w:rPr>
          <w:rFonts w:ascii="Times New Roman" w:hAnsi="Times New Roman"/>
          <w:i/>
          <w:spacing w:val="4"/>
        </w:rPr>
        <w:t>15-летним</w:t>
      </w:r>
      <w:r w:rsidRPr="00F90592">
        <w:rPr>
          <w:rFonts w:ascii="Times New Roman" w:hAnsi="Times New Roman"/>
          <w:i/>
          <w:spacing w:val="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65913947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700619BC" w14:textId="77777777" w:rsidR="00101433" w:rsidRDefault="00101433" w:rsidP="00101433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351625B4" w14:textId="77777777" w:rsidR="00101433" w:rsidRDefault="00101433" w:rsidP="0010143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DB12D27" w14:textId="77777777" w:rsidR="00101433" w:rsidRDefault="00101433" w:rsidP="0010143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7777777" w:rsidR="00586B97" w:rsidRP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3CA4275A" w14:textId="100F8EB3" w:rsidR="003318A3" w:rsidRPr="00C00AFD" w:rsidRDefault="00380659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0AFD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8377F" w:rsidRPr="00C00AFD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p w14:paraId="1A1D9DED" w14:textId="313C1C72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B82E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73ABACDE" w14:textId="625D009A" w:rsidR="00355BE4" w:rsidRDefault="00875B10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24ED01B8" w14:textId="77777777" w:rsidR="00346E0A" w:rsidRPr="008F24ED" w:rsidRDefault="00346E0A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Единый </w:t>
      </w:r>
      <w:proofErr w:type="spellStart"/>
      <w:r w:rsidRPr="008F24ED">
        <w:rPr>
          <w:rFonts w:ascii="Times New Roman" w:hAnsi="Times New Roman"/>
        </w:rPr>
        <w:t>агрегатор</w:t>
      </w:r>
      <w:proofErr w:type="spellEnd"/>
      <w:r w:rsidRPr="008F24ED">
        <w:rPr>
          <w:rFonts w:ascii="Times New Roman" w:hAnsi="Times New Roman"/>
        </w:rPr>
        <w:t xml:space="preserve">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Новый единообразный порядок контроля в </w:t>
      </w:r>
      <w:proofErr w:type="spellStart"/>
      <w:r w:rsidRPr="008F24ED">
        <w:rPr>
          <w:rFonts w:ascii="Times New Roman" w:hAnsi="Times New Roman"/>
        </w:rPr>
        <w:t>госзакупках</w:t>
      </w:r>
      <w:proofErr w:type="spellEnd"/>
      <w:r w:rsidRPr="008F24ED">
        <w:rPr>
          <w:rFonts w:ascii="Times New Roman" w:hAnsi="Times New Roman"/>
        </w:rPr>
        <w:t>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Обязанность расчета НМЦК с учетом </w:t>
      </w:r>
      <w:proofErr w:type="spellStart"/>
      <w:r w:rsidRPr="008F24ED">
        <w:rPr>
          <w:rFonts w:ascii="Times New Roman" w:hAnsi="Times New Roman"/>
        </w:rPr>
        <w:t>референтных</w:t>
      </w:r>
      <w:proofErr w:type="spellEnd"/>
      <w:r w:rsidRPr="008F24ED">
        <w:rPr>
          <w:rFonts w:ascii="Times New Roman" w:hAnsi="Times New Roman"/>
        </w:rPr>
        <w:t xml:space="preserve">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0180AD2B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6CB3EDA7" w14:textId="407FEF56" w:rsidR="003318A3" w:rsidRPr="00C00AFD" w:rsidRDefault="00346E0A" w:rsidP="00346E0A">
      <w:pPr>
        <w:spacing w:after="0" w:line="240" w:lineRule="auto"/>
        <w:jc w:val="both"/>
        <w:rPr>
          <w:rFonts w:ascii="Times New Roman" w:eastAsia="SimSun" w:hAnsi="Times New Roman"/>
          <w:color w:val="FF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2E631282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570E" id="Прямая со стрелкой 4" o:spid="_x0000_s1026" type="#_x0000_t32" style="position:absolute;margin-left:-.65pt;margin-top:1.0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"/>
            </w:pict>
          </mc:Fallback>
        </mc:AlternateContent>
      </w:r>
      <w:bookmarkStart w:id="1" w:name="_GoBack"/>
    </w:p>
    <w:p w14:paraId="4DB10E30" w14:textId="5F3E801D" w:rsidR="003318A3" w:rsidRPr="00C00AFD" w:rsidRDefault="00380659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0AF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8377F" w:rsidRPr="00C00AFD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bookmarkEnd w:id="1"/>
    <w:p w14:paraId="6BD1470E" w14:textId="506E7F64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</w:t>
      </w:r>
      <w:proofErr w:type="spellStart"/>
      <w:r w:rsidRPr="008F24ED">
        <w:rPr>
          <w:rFonts w:ascii="Times New Roman" w:hAnsi="Times New Roman"/>
        </w:rPr>
        <w:t>импортозамещению</w:t>
      </w:r>
      <w:proofErr w:type="spellEnd"/>
      <w:r w:rsidRPr="008F24ED">
        <w:rPr>
          <w:rFonts w:ascii="Times New Roman" w:hAnsi="Times New Roman"/>
        </w:rPr>
        <w:t xml:space="preserve">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73106ACD" w14:textId="2E268449" w:rsidR="00586B97" w:rsidRDefault="00346E0A" w:rsidP="00346E0A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525A0DB4">
                <wp:simplePos x="0" y="0"/>
                <wp:positionH relativeFrom="column">
                  <wp:posOffset>-8255</wp:posOffset>
                </wp:positionH>
                <wp:positionV relativeFrom="paragraph">
                  <wp:posOffset>244475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C2FD" id="Прямая со стрелкой 5" o:spid="_x0000_s1026" type="#_x0000_t32" style="position:absolute;margin-left:-.65pt;margin-top:19.25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vu29Jt0AAAAJAQAADwAAAAAAAAAAAAAAAAClBAAAZHJzL2Rvd25yZXYueG1sUEsFBgAAAAAEAAQA&#10;8wAAAK8FAAAAAA==&#10;"/>
            </w:pict>
          </mc:Fallback>
        </mc:AlternateContent>
      </w:r>
      <w:r w:rsidR="00355BE4"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16ADB6B8" w14:textId="77777777" w:rsidR="00BA248B" w:rsidRPr="00BA248B" w:rsidRDefault="00BA248B" w:rsidP="00346E0A">
      <w:pPr>
        <w:jc w:val="both"/>
        <w:rPr>
          <w:rFonts w:ascii="Times New Roman" w:hAnsi="Times New Roman"/>
          <w:b/>
        </w:rPr>
      </w:pPr>
    </w:p>
    <w:p w14:paraId="43CF7B92" w14:textId="1C79431D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7063F3D6" w14:textId="2DDC1A77" w:rsidR="00954A4E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1F6C744F" w14:textId="720D2558" w:rsidR="00954A4E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78618C62" w14:textId="6FF00019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46988AA0" w14:textId="77777777" w:rsidR="00101433" w:rsidRDefault="00101433" w:rsidP="00101433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650AEAA6" w14:textId="77777777" w:rsidR="00101433" w:rsidRDefault="00101433" w:rsidP="0010143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6ED8C9EE" w14:textId="77777777" w:rsidR="00101433" w:rsidRDefault="00101433" w:rsidP="0010143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3874AE1" w14:textId="5DCEC0CC" w:rsidR="006747BD" w:rsidRPr="00BA248B" w:rsidRDefault="00380659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2391EE93">
            <wp:simplePos x="0" y="0"/>
            <wp:positionH relativeFrom="column">
              <wp:posOffset>407670</wp:posOffset>
            </wp:positionH>
            <wp:positionV relativeFrom="paragraph">
              <wp:posOffset>-147955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613BA0BA" w14:textId="77777777" w:rsidR="006747BD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  <w:p w14:paraId="036BE565" w14:textId="0CAA7324" w:rsidR="00F3710B" w:rsidRPr="00B724E1" w:rsidRDefault="00F3710B" w:rsidP="00F3710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F3710B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Для профессионалов!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ED565D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346A67CB" w14:textId="77777777" w:rsidR="00BA248B" w:rsidRPr="00842E0F" w:rsidRDefault="00BA248B" w:rsidP="00BA248B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711C9DED" w14:textId="77777777" w:rsidR="00BA248B" w:rsidRDefault="00BA248B" w:rsidP="00BA248B">
      <w:pPr>
        <w:spacing w:after="0"/>
        <w:jc w:val="center"/>
        <w:rPr>
          <w:rFonts w:ascii="Arial" w:eastAsia="MS Mincho" w:hAnsi="Arial" w:cs="Arial"/>
        </w:rPr>
      </w:pPr>
    </w:p>
    <w:p w14:paraId="3F26F1F3" w14:textId="2878802F" w:rsidR="00BA248B" w:rsidRDefault="00BA248B" w:rsidP="00BA248B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19365864" w14:textId="77777777" w:rsidR="00101433" w:rsidRDefault="00101433" w:rsidP="00101433">
      <w:pPr>
        <w:spacing w:after="0"/>
        <w:jc w:val="center"/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</w:pPr>
    </w:p>
    <w:p w14:paraId="326EAF17" w14:textId="7765D8AD" w:rsidR="00101433" w:rsidRPr="00101433" w:rsidRDefault="00101433" w:rsidP="00101433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9FAC69A" w14:textId="4F08FFE6" w:rsidR="00FB121F" w:rsidRPr="00DA67BD" w:rsidRDefault="00101433" w:rsidP="00101433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proofErr w:type="spellEnd"/>
      <w:r w:rsidRPr="00DA67B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proofErr w:type="spellStart"/>
      <w:r w:rsidRPr="0010143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proofErr w:type="spellEnd"/>
    </w:p>
    <w:sectPr w:rsidR="00FB121F" w:rsidRPr="00DA67BD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D3F4F"/>
    <w:rsid w:val="00101433"/>
    <w:rsid w:val="00132F4E"/>
    <w:rsid w:val="00190415"/>
    <w:rsid w:val="001B70A7"/>
    <w:rsid w:val="001D2FB3"/>
    <w:rsid w:val="00230454"/>
    <w:rsid w:val="002C0C7F"/>
    <w:rsid w:val="002F6215"/>
    <w:rsid w:val="003318A3"/>
    <w:rsid w:val="00346E0A"/>
    <w:rsid w:val="00355BE4"/>
    <w:rsid w:val="00380659"/>
    <w:rsid w:val="003E6ED2"/>
    <w:rsid w:val="00435703"/>
    <w:rsid w:val="00453958"/>
    <w:rsid w:val="004E69CB"/>
    <w:rsid w:val="00511B98"/>
    <w:rsid w:val="00514D7F"/>
    <w:rsid w:val="00536419"/>
    <w:rsid w:val="00586B97"/>
    <w:rsid w:val="006747BD"/>
    <w:rsid w:val="00677F4B"/>
    <w:rsid w:val="00692364"/>
    <w:rsid w:val="0071766C"/>
    <w:rsid w:val="00723031"/>
    <w:rsid w:val="00732783"/>
    <w:rsid w:val="007343B2"/>
    <w:rsid w:val="007367BB"/>
    <w:rsid w:val="00757372"/>
    <w:rsid w:val="007D144D"/>
    <w:rsid w:val="007F5972"/>
    <w:rsid w:val="008523E5"/>
    <w:rsid w:val="00875B10"/>
    <w:rsid w:val="008F24ED"/>
    <w:rsid w:val="00954A4E"/>
    <w:rsid w:val="009B791B"/>
    <w:rsid w:val="009C6CBC"/>
    <w:rsid w:val="00AB0B94"/>
    <w:rsid w:val="00B413F8"/>
    <w:rsid w:val="00B724E1"/>
    <w:rsid w:val="00B82ECE"/>
    <w:rsid w:val="00B95910"/>
    <w:rsid w:val="00B97E20"/>
    <w:rsid w:val="00BA248B"/>
    <w:rsid w:val="00BC2D48"/>
    <w:rsid w:val="00C00AFD"/>
    <w:rsid w:val="00D5199A"/>
    <w:rsid w:val="00DA67BD"/>
    <w:rsid w:val="00DC16A4"/>
    <w:rsid w:val="00DD28DD"/>
    <w:rsid w:val="00DE1137"/>
    <w:rsid w:val="00DE4258"/>
    <w:rsid w:val="00E819BC"/>
    <w:rsid w:val="00EB2655"/>
    <w:rsid w:val="00EE6472"/>
    <w:rsid w:val="00F23A8D"/>
    <w:rsid w:val="00F3710B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57</cp:revision>
  <dcterms:created xsi:type="dcterms:W3CDTF">2019-07-30T13:10:00Z</dcterms:created>
  <dcterms:modified xsi:type="dcterms:W3CDTF">2019-12-27T08:10:00Z</dcterms:modified>
</cp:coreProperties>
</file>